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8CBF2" w14:textId="77777777" w:rsidR="00725623" w:rsidRPr="00774225" w:rsidRDefault="00725623" w:rsidP="00725623">
      <w:pPr>
        <w:jc w:val="center"/>
        <w:rPr>
          <w:rFonts w:ascii="Courier New" w:hAnsi="Courier New" w:cs="Courier New"/>
          <w:b/>
          <w:sz w:val="24"/>
          <w:szCs w:val="24"/>
        </w:rPr>
      </w:pPr>
      <w:r w:rsidRPr="00774225">
        <w:rPr>
          <w:rFonts w:ascii="Courier New" w:hAnsi="Courier New" w:cs="Courier New"/>
          <w:b/>
          <w:sz w:val="24"/>
          <w:szCs w:val="24"/>
        </w:rPr>
        <w:t>High Impedance Grounding System</w:t>
      </w:r>
    </w:p>
    <w:p w14:paraId="3FEEF649" w14:textId="283707F7" w:rsidR="005E5642" w:rsidRDefault="005E5642">
      <w:pPr>
        <w:rPr>
          <w:rFonts w:ascii="Courier New" w:hAnsi="Courier New" w:cs="Courier New"/>
          <w:sz w:val="24"/>
          <w:szCs w:val="24"/>
        </w:rPr>
      </w:pPr>
      <w:bookmarkStart w:id="0" w:name="_GoBack"/>
      <w:bookmarkEnd w:id="0"/>
      <w:r>
        <w:rPr>
          <w:rFonts w:ascii="Courier New" w:hAnsi="Courier New" w:cs="Courier New"/>
          <w:sz w:val="24"/>
          <w:szCs w:val="24"/>
        </w:rPr>
        <w:t xml:space="preserve">The </w:t>
      </w:r>
      <w:r w:rsidRPr="00774225">
        <w:rPr>
          <w:rFonts w:ascii="Courier New" w:hAnsi="Courier New" w:cs="Courier New"/>
          <w:sz w:val="24"/>
          <w:szCs w:val="24"/>
        </w:rPr>
        <w:t>High Impedance Grounding System</w:t>
      </w:r>
      <w:r>
        <w:rPr>
          <w:rFonts w:ascii="Courier New" w:hAnsi="Courier New" w:cs="Courier New"/>
          <w:sz w:val="24"/>
          <w:szCs w:val="24"/>
        </w:rPr>
        <w:t xml:space="preserve"> shall be provided with the generator.  </w:t>
      </w:r>
      <w:r w:rsidRPr="00774225">
        <w:rPr>
          <w:rFonts w:ascii="Courier New" w:hAnsi="Courier New" w:cs="Courier New"/>
          <w:sz w:val="24"/>
          <w:szCs w:val="24"/>
        </w:rPr>
        <w:t>High Impedance Grounding System</w:t>
      </w:r>
      <w:r>
        <w:rPr>
          <w:rFonts w:ascii="Courier New" w:hAnsi="Courier New" w:cs="Courier New"/>
          <w:sz w:val="24"/>
          <w:szCs w:val="24"/>
        </w:rPr>
        <w:t xml:space="preserve"> shall limit the ground fault current to the levels manageable for continuous system operation under the line to ground fault conditions</w:t>
      </w:r>
      <w:r w:rsidR="006A148E">
        <w:rPr>
          <w:rFonts w:ascii="Courier New" w:hAnsi="Courier New" w:cs="Courier New"/>
          <w:sz w:val="24"/>
          <w:szCs w:val="24"/>
        </w:rPr>
        <w:t>, yet high enough to allow for reliable detection of the line to ground fault conditions</w:t>
      </w:r>
      <w:r>
        <w:rPr>
          <w:rFonts w:ascii="Courier New" w:hAnsi="Courier New" w:cs="Courier New"/>
          <w:sz w:val="24"/>
          <w:szCs w:val="24"/>
        </w:rPr>
        <w:t xml:space="preserve">.  </w:t>
      </w:r>
    </w:p>
    <w:p w14:paraId="5C94BF3B" w14:textId="049AC11C" w:rsidR="00112AB3" w:rsidRPr="00774225" w:rsidRDefault="00C82A35">
      <w:pPr>
        <w:rPr>
          <w:rFonts w:ascii="Courier New" w:hAnsi="Courier New" w:cs="Courier New"/>
          <w:sz w:val="24"/>
          <w:szCs w:val="24"/>
        </w:rPr>
      </w:pPr>
      <w:r w:rsidRPr="00774225">
        <w:rPr>
          <w:rFonts w:ascii="Courier New" w:hAnsi="Courier New" w:cs="Courier New"/>
          <w:sz w:val="24"/>
          <w:szCs w:val="24"/>
        </w:rPr>
        <w:t>Design criteria:</w:t>
      </w:r>
    </w:p>
    <w:p w14:paraId="51791CBD" w14:textId="77777777" w:rsidR="00C82A35" w:rsidRPr="00774225" w:rsidRDefault="00C82A35">
      <w:pPr>
        <w:rPr>
          <w:rFonts w:ascii="Courier New" w:hAnsi="Courier New" w:cs="Courier New"/>
          <w:sz w:val="24"/>
          <w:szCs w:val="24"/>
        </w:rPr>
      </w:pPr>
      <w:r w:rsidRPr="00774225">
        <w:rPr>
          <w:rFonts w:ascii="Courier New" w:hAnsi="Courier New" w:cs="Courier New"/>
          <w:sz w:val="24"/>
          <w:szCs w:val="24"/>
        </w:rPr>
        <w:t>The vendor should demonstrate to the Engineer conformance of the High Impedance Grounding System to the following design criteria:</w:t>
      </w:r>
    </w:p>
    <w:p w14:paraId="2E50647D" w14:textId="4A3C1E0E" w:rsidR="00C82A35" w:rsidRPr="00774225" w:rsidRDefault="00BB5F17" w:rsidP="00C82A35">
      <w:pPr>
        <w:pStyle w:val="ListParagraph"/>
        <w:numPr>
          <w:ilvl w:val="0"/>
          <w:numId w:val="1"/>
        </w:numPr>
        <w:rPr>
          <w:rFonts w:ascii="Courier New" w:hAnsi="Courier New" w:cs="Courier New"/>
          <w:sz w:val="24"/>
          <w:szCs w:val="24"/>
        </w:rPr>
      </w:pPr>
      <w:r w:rsidRPr="00774225">
        <w:rPr>
          <w:rFonts w:ascii="Courier New" w:hAnsi="Courier New" w:cs="Courier New"/>
          <w:sz w:val="24"/>
          <w:szCs w:val="24"/>
        </w:rPr>
        <w:t xml:space="preserve">The </w:t>
      </w:r>
      <w:r w:rsidR="006A148E" w:rsidRPr="00774225">
        <w:rPr>
          <w:rFonts w:ascii="Courier New" w:hAnsi="Courier New" w:cs="Courier New"/>
          <w:sz w:val="24"/>
          <w:szCs w:val="24"/>
        </w:rPr>
        <w:t>High Impedance Grounding System</w:t>
      </w:r>
      <w:r w:rsidR="006A148E">
        <w:rPr>
          <w:rFonts w:ascii="Courier New" w:hAnsi="Courier New" w:cs="Courier New"/>
          <w:sz w:val="24"/>
          <w:szCs w:val="24"/>
        </w:rPr>
        <w:t xml:space="preserve"> </w:t>
      </w:r>
      <w:r w:rsidR="00C82A35" w:rsidRPr="00774225">
        <w:rPr>
          <w:rFonts w:ascii="Courier New" w:hAnsi="Courier New" w:cs="Courier New"/>
          <w:sz w:val="24"/>
          <w:szCs w:val="24"/>
        </w:rPr>
        <w:t xml:space="preserve">should be properly fluxed (over-fluxed) to minimize the effect of magnetizing inrush when the ground fault occurs. </w:t>
      </w:r>
      <w:r w:rsidR="00204BD3">
        <w:rPr>
          <w:rFonts w:ascii="Courier New" w:hAnsi="Courier New" w:cs="Courier New"/>
          <w:sz w:val="24"/>
          <w:szCs w:val="24"/>
        </w:rPr>
        <w:t>System</w:t>
      </w:r>
      <w:r w:rsidR="00C82A35" w:rsidRPr="00774225">
        <w:rPr>
          <w:rFonts w:ascii="Courier New" w:hAnsi="Courier New" w:cs="Courier New"/>
          <w:sz w:val="24"/>
          <w:szCs w:val="24"/>
        </w:rPr>
        <w:t xml:space="preserve"> should be sized to minimize its contribution to creation of </w:t>
      </w:r>
      <w:r w:rsidR="00774225" w:rsidRPr="00774225">
        <w:rPr>
          <w:rFonts w:ascii="Courier New" w:hAnsi="Courier New" w:cs="Courier New"/>
          <w:sz w:val="24"/>
          <w:szCs w:val="24"/>
        </w:rPr>
        <w:t>Ferro resonant</w:t>
      </w:r>
      <w:r w:rsidR="00C82A35" w:rsidRPr="00774225">
        <w:rPr>
          <w:rFonts w:ascii="Courier New" w:hAnsi="Courier New" w:cs="Courier New"/>
          <w:sz w:val="24"/>
          <w:szCs w:val="24"/>
        </w:rPr>
        <w:t xml:space="preserve"> circuit in the power system.  </w:t>
      </w:r>
    </w:p>
    <w:p w14:paraId="5D2BE37A" w14:textId="11C17522" w:rsidR="00C82A35" w:rsidRPr="00774225" w:rsidRDefault="00C82A35" w:rsidP="00C82A35">
      <w:pPr>
        <w:pStyle w:val="ListParagraph"/>
        <w:numPr>
          <w:ilvl w:val="0"/>
          <w:numId w:val="1"/>
        </w:numPr>
        <w:rPr>
          <w:rFonts w:ascii="Courier New" w:hAnsi="Courier New" w:cs="Courier New"/>
          <w:sz w:val="24"/>
          <w:szCs w:val="24"/>
        </w:rPr>
      </w:pPr>
      <w:r w:rsidRPr="00774225">
        <w:rPr>
          <w:rFonts w:ascii="Courier New" w:hAnsi="Courier New" w:cs="Courier New"/>
          <w:sz w:val="24"/>
          <w:szCs w:val="24"/>
        </w:rPr>
        <w:t>Transformer</w:t>
      </w:r>
      <w:r w:rsidR="00204BD3">
        <w:rPr>
          <w:rFonts w:ascii="Courier New" w:hAnsi="Courier New" w:cs="Courier New"/>
          <w:sz w:val="24"/>
          <w:szCs w:val="24"/>
        </w:rPr>
        <w:t xml:space="preserve"> </w:t>
      </w:r>
      <w:r w:rsidRPr="00774225">
        <w:rPr>
          <w:rFonts w:ascii="Courier New" w:hAnsi="Courier New" w:cs="Courier New"/>
          <w:sz w:val="24"/>
          <w:szCs w:val="24"/>
        </w:rPr>
        <w:t>resistance combination should</w:t>
      </w:r>
      <w:r w:rsidR="00204BD3">
        <w:rPr>
          <w:rFonts w:ascii="Courier New" w:hAnsi="Courier New" w:cs="Courier New"/>
          <w:sz w:val="24"/>
          <w:szCs w:val="24"/>
        </w:rPr>
        <w:t xml:space="preserve"> be provided as and if required and </w:t>
      </w:r>
      <w:r w:rsidRPr="00774225">
        <w:rPr>
          <w:rFonts w:ascii="Courier New" w:hAnsi="Courier New" w:cs="Courier New"/>
          <w:sz w:val="24"/>
          <w:szCs w:val="24"/>
        </w:rPr>
        <w:t>sized to introduce the amount of zero sequence resistive fault current which exceeds the amount of capacitive ground fault current.</w:t>
      </w:r>
    </w:p>
    <w:p w14:paraId="77C2B7E0" w14:textId="77777777" w:rsidR="00C82A35" w:rsidRPr="00774225" w:rsidRDefault="00B91175" w:rsidP="00C82A35">
      <w:pPr>
        <w:pStyle w:val="ListParagraph"/>
        <w:numPr>
          <w:ilvl w:val="0"/>
          <w:numId w:val="1"/>
        </w:numPr>
        <w:rPr>
          <w:rFonts w:ascii="Courier New" w:hAnsi="Courier New" w:cs="Courier New"/>
          <w:sz w:val="24"/>
          <w:szCs w:val="24"/>
        </w:rPr>
      </w:pPr>
      <w:r w:rsidRPr="00774225">
        <w:rPr>
          <w:rFonts w:ascii="Courier New" w:hAnsi="Courier New" w:cs="Courier New"/>
          <w:sz w:val="24"/>
          <w:szCs w:val="24"/>
        </w:rPr>
        <w:t>Transformer and resistor should have matched duty rating.</w:t>
      </w:r>
    </w:p>
    <w:p w14:paraId="0415168C" w14:textId="77777777" w:rsidR="00B91175" w:rsidRPr="00774225" w:rsidRDefault="00B91175" w:rsidP="00C82A35">
      <w:pPr>
        <w:pStyle w:val="ListParagraph"/>
        <w:numPr>
          <w:ilvl w:val="0"/>
          <w:numId w:val="1"/>
        </w:numPr>
        <w:rPr>
          <w:rFonts w:ascii="Courier New" w:hAnsi="Courier New" w:cs="Courier New"/>
          <w:sz w:val="24"/>
          <w:szCs w:val="24"/>
        </w:rPr>
      </w:pPr>
      <w:r w:rsidRPr="00774225">
        <w:rPr>
          <w:rFonts w:ascii="Courier New" w:hAnsi="Courier New" w:cs="Courier New"/>
          <w:sz w:val="24"/>
          <w:szCs w:val="24"/>
        </w:rPr>
        <w:t>High restriking voltages should be considered in the equipment sizing and design.</w:t>
      </w:r>
    </w:p>
    <w:p w14:paraId="380EAA3D" w14:textId="6F49EE65" w:rsidR="00B91175" w:rsidRPr="00774225" w:rsidRDefault="00B91175" w:rsidP="00C82A35">
      <w:pPr>
        <w:pStyle w:val="ListParagraph"/>
        <w:numPr>
          <w:ilvl w:val="0"/>
          <w:numId w:val="1"/>
        </w:numPr>
        <w:rPr>
          <w:rFonts w:ascii="Courier New" w:hAnsi="Courier New" w:cs="Courier New"/>
          <w:sz w:val="24"/>
          <w:szCs w:val="24"/>
        </w:rPr>
      </w:pPr>
      <w:r w:rsidRPr="00774225">
        <w:rPr>
          <w:rFonts w:ascii="Courier New" w:hAnsi="Courier New" w:cs="Courier New"/>
          <w:sz w:val="24"/>
          <w:szCs w:val="24"/>
        </w:rPr>
        <w:t xml:space="preserve">Total system capacitance </w:t>
      </w:r>
      <w:r w:rsidR="00204BD3">
        <w:rPr>
          <w:rFonts w:ascii="Courier New" w:hAnsi="Courier New" w:cs="Courier New"/>
          <w:sz w:val="24"/>
          <w:szCs w:val="24"/>
        </w:rPr>
        <w:t xml:space="preserve">shall be calculated by the manufacturer and used for proper sizing of the </w:t>
      </w:r>
      <w:r w:rsidR="00204BD3" w:rsidRPr="00774225">
        <w:rPr>
          <w:rFonts w:ascii="Courier New" w:hAnsi="Courier New" w:cs="Courier New"/>
          <w:sz w:val="24"/>
          <w:szCs w:val="24"/>
        </w:rPr>
        <w:t>High Impedance Grounding System</w:t>
      </w:r>
      <w:r w:rsidR="00204BD3">
        <w:rPr>
          <w:rFonts w:ascii="Courier New" w:hAnsi="Courier New" w:cs="Courier New"/>
          <w:sz w:val="24"/>
          <w:szCs w:val="24"/>
        </w:rPr>
        <w:t xml:space="preserve">.  </w:t>
      </w:r>
    </w:p>
    <w:p w14:paraId="25A5B489" w14:textId="06D51F09" w:rsidR="00B91175" w:rsidRPr="00774225" w:rsidRDefault="00B91175" w:rsidP="00C82A35">
      <w:pPr>
        <w:pStyle w:val="ListParagraph"/>
        <w:numPr>
          <w:ilvl w:val="0"/>
          <w:numId w:val="1"/>
        </w:numPr>
        <w:rPr>
          <w:rFonts w:ascii="Courier New" w:hAnsi="Courier New" w:cs="Courier New"/>
          <w:sz w:val="24"/>
          <w:szCs w:val="24"/>
        </w:rPr>
      </w:pPr>
      <w:r w:rsidRPr="00774225">
        <w:rPr>
          <w:rFonts w:ascii="Courier New" w:hAnsi="Courier New" w:cs="Courier New"/>
          <w:sz w:val="24"/>
          <w:szCs w:val="24"/>
        </w:rPr>
        <w:t>The High Impedance Grounding System shall be designed for the continuous duty</w:t>
      </w:r>
      <w:r w:rsidR="00204BD3">
        <w:rPr>
          <w:rFonts w:ascii="Courier New" w:hAnsi="Courier New" w:cs="Courier New"/>
          <w:sz w:val="24"/>
          <w:szCs w:val="24"/>
        </w:rPr>
        <w:t xml:space="preserve"> operation</w:t>
      </w:r>
      <w:r w:rsidRPr="00774225">
        <w:rPr>
          <w:rFonts w:ascii="Courier New" w:hAnsi="Courier New" w:cs="Courier New"/>
          <w:sz w:val="24"/>
          <w:szCs w:val="24"/>
        </w:rPr>
        <w:t xml:space="preserve">.  The system shall be designed to </w:t>
      </w:r>
      <w:r w:rsidR="00061984" w:rsidRPr="00774225">
        <w:rPr>
          <w:rFonts w:ascii="Courier New" w:hAnsi="Courier New" w:cs="Courier New"/>
          <w:sz w:val="24"/>
          <w:szCs w:val="24"/>
        </w:rPr>
        <w:t>allow capacity for at least 30% e</w:t>
      </w:r>
      <w:r w:rsidR="008B0C6C" w:rsidRPr="00774225">
        <w:rPr>
          <w:rFonts w:ascii="Courier New" w:hAnsi="Courier New" w:cs="Courier New"/>
          <w:sz w:val="24"/>
          <w:szCs w:val="24"/>
        </w:rPr>
        <w:t>xpansion/</w:t>
      </w:r>
      <w:r w:rsidR="00061984" w:rsidRPr="00774225">
        <w:rPr>
          <w:rFonts w:ascii="Courier New" w:hAnsi="Courier New" w:cs="Courier New"/>
          <w:sz w:val="24"/>
          <w:szCs w:val="24"/>
        </w:rPr>
        <w:t>safety factor</w:t>
      </w:r>
      <w:r w:rsidRPr="00774225">
        <w:rPr>
          <w:rFonts w:ascii="Courier New" w:hAnsi="Courier New" w:cs="Courier New"/>
          <w:sz w:val="24"/>
          <w:szCs w:val="24"/>
        </w:rPr>
        <w:t>.</w:t>
      </w:r>
    </w:p>
    <w:p w14:paraId="1BA3039B" w14:textId="60090FBB" w:rsidR="00061984" w:rsidRDefault="00061984" w:rsidP="00061984">
      <w:pPr>
        <w:pStyle w:val="ListParagraph"/>
        <w:rPr>
          <w:rFonts w:ascii="Courier New" w:hAnsi="Courier New" w:cs="Courier New"/>
          <w:sz w:val="24"/>
          <w:szCs w:val="24"/>
        </w:rPr>
      </w:pPr>
    </w:p>
    <w:p w14:paraId="56AD5F82" w14:textId="77777777" w:rsidR="00204BD3" w:rsidRPr="00774225" w:rsidRDefault="00204BD3" w:rsidP="00061984">
      <w:pPr>
        <w:pStyle w:val="ListParagraph"/>
        <w:rPr>
          <w:rFonts w:ascii="Courier New" w:hAnsi="Courier New" w:cs="Courier New"/>
          <w:sz w:val="24"/>
          <w:szCs w:val="24"/>
        </w:rPr>
      </w:pPr>
    </w:p>
    <w:p w14:paraId="57CE0C93" w14:textId="77777777" w:rsidR="00061984" w:rsidRPr="00774225" w:rsidRDefault="00061984" w:rsidP="00061984">
      <w:pPr>
        <w:pStyle w:val="ListParagraph"/>
        <w:ind w:left="360"/>
        <w:rPr>
          <w:rFonts w:ascii="Courier New" w:hAnsi="Courier New" w:cs="Courier New"/>
          <w:sz w:val="24"/>
          <w:szCs w:val="24"/>
        </w:rPr>
      </w:pPr>
      <w:r w:rsidRPr="00774225">
        <w:rPr>
          <w:rFonts w:ascii="Courier New" w:hAnsi="Courier New" w:cs="Courier New"/>
          <w:sz w:val="24"/>
          <w:szCs w:val="24"/>
        </w:rPr>
        <w:t>Construction:</w:t>
      </w:r>
    </w:p>
    <w:p w14:paraId="16C5573F" w14:textId="77777777" w:rsidR="00061984" w:rsidRPr="00774225" w:rsidRDefault="00061984" w:rsidP="00061984">
      <w:pPr>
        <w:pStyle w:val="ListParagraph"/>
        <w:ind w:left="360"/>
        <w:rPr>
          <w:rFonts w:ascii="Courier New" w:hAnsi="Courier New" w:cs="Courier New"/>
          <w:sz w:val="24"/>
          <w:szCs w:val="24"/>
        </w:rPr>
      </w:pPr>
    </w:p>
    <w:p w14:paraId="2BB0B852" w14:textId="6F531A4B" w:rsidR="00061984" w:rsidRPr="00774225" w:rsidRDefault="00DE491B" w:rsidP="00DE491B">
      <w:pPr>
        <w:pStyle w:val="ListParagraph"/>
        <w:numPr>
          <w:ilvl w:val="0"/>
          <w:numId w:val="2"/>
        </w:numPr>
        <w:rPr>
          <w:rFonts w:ascii="Courier New" w:hAnsi="Courier New" w:cs="Courier New"/>
          <w:sz w:val="24"/>
          <w:szCs w:val="24"/>
        </w:rPr>
      </w:pPr>
      <w:r w:rsidRPr="00774225">
        <w:rPr>
          <w:rFonts w:ascii="Courier New" w:hAnsi="Courier New" w:cs="Courier New"/>
          <w:sz w:val="24"/>
          <w:szCs w:val="24"/>
        </w:rPr>
        <w:t>The High Impedance Grounding System shall be housed in outdoor N</w:t>
      </w:r>
      <w:r w:rsidR="00774225">
        <w:rPr>
          <w:rFonts w:ascii="Courier New" w:hAnsi="Courier New" w:cs="Courier New"/>
          <w:sz w:val="24"/>
          <w:szCs w:val="24"/>
        </w:rPr>
        <w:t>EMA</w:t>
      </w:r>
      <w:r w:rsidRPr="00774225">
        <w:rPr>
          <w:rFonts w:ascii="Courier New" w:hAnsi="Courier New" w:cs="Courier New"/>
          <w:sz w:val="24"/>
          <w:szCs w:val="24"/>
        </w:rPr>
        <w:t xml:space="preserve"> </w:t>
      </w:r>
      <w:r w:rsidR="00CF2BB4">
        <w:rPr>
          <w:rFonts w:ascii="Courier New" w:hAnsi="Courier New" w:cs="Courier New"/>
          <w:sz w:val="24"/>
          <w:szCs w:val="24"/>
        </w:rPr>
        <w:t>1</w:t>
      </w:r>
      <w:r w:rsidRPr="00774225">
        <w:rPr>
          <w:rFonts w:ascii="Courier New" w:hAnsi="Courier New" w:cs="Courier New"/>
          <w:sz w:val="24"/>
          <w:szCs w:val="24"/>
        </w:rPr>
        <w:t xml:space="preserve"> rated enclosure</w:t>
      </w:r>
      <w:r w:rsidR="00CF2BB4">
        <w:rPr>
          <w:rFonts w:ascii="Courier New" w:hAnsi="Courier New" w:cs="Courier New"/>
          <w:sz w:val="24"/>
          <w:szCs w:val="24"/>
        </w:rPr>
        <w:t xml:space="preserve"> for installation inside the engine-generator enclosure</w:t>
      </w:r>
      <w:r w:rsidRPr="00774225">
        <w:rPr>
          <w:rFonts w:ascii="Courier New" w:hAnsi="Courier New" w:cs="Courier New"/>
          <w:sz w:val="24"/>
          <w:szCs w:val="24"/>
        </w:rPr>
        <w:t xml:space="preserve">.  The enclosure shall be UL508A listed for </w:t>
      </w:r>
      <w:r w:rsidR="00774225">
        <w:rPr>
          <w:rFonts w:ascii="Courier New" w:hAnsi="Courier New" w:cs="Courier New"/>
          <w:sz w:val="24"/>
          <w:szCs w:val="24"/>
        </w:rPr>
        <w:t>NEMA</w:t>
      </w:r>
      <w:r w:rsidR="00CF2BB4">
        <w:rPr>
          <w:rFonts w:ascii="Courier New" w:hAnsi="Courier New" w:cs="Courier New"/>
          <w:sz w:val="24"/>
          <w:szCs w:val="24"/>
        </w:rPr>
        <w:t xml:space="preserve"> 1 </w:t>
      </w:r>
      <w:r w:rsidRPr="00774225">
        <w:rPr>
          <w:rFonts w:ascii="Courier New" w:hAnsi="Courier New" w:cs="Courier New"/>
          <w:sz w:val="24"/>
          <w:szCs w:val="24"/>
        </w:rPr>
        <w:t>applications.</w:t>
      </w:r>
    </w:p>
    <w:p w14:paraId="78EECD18" w14:textId="263EBC9E" w:rsidR="00CF2BB4" w:rsidRDefault="00CF2BB4" w:rsidP="00CF2BB4">
      <w:pPr>
        <w:pStyle w:val="ListParagraph"/>
        <w:numPr>
          <w:ilvl w:val="0"/>
          <w:numId w:val="2"/>
        </w:numPr>
        <w:rPr>
          <w:rFonts w:ascii="Courier New" w:hAnsi="Courier New" w:cs="Courier New"/>
          <w:sz w:val="24"/>
          <w:szCs w:val="24"/>
        </w:rPr>
      </w:pPr>
      <w:r>
        <w:rPr>
          <w:rFonts w:ascii="Courier New" w:hAnsi="Courier New" w:cs="Courier New"/>
          <w:sz w:val="24"/>
          <w:szCs w:val="24"/>
        </w:rPr>
        <w:lastRenderedPageBreak/>
        <w:t xml:space="preserve">The ground-overvoltage fault sensing relay, Device 59G, with adjustable voltage and time delay settings shall be provided as part of the system and installed and integrated in the High Impedance Grounding System enclosure.  The control power for the 59G relay and related control and annunciation circuits shall be derived from the generator set starting batteries, 24 VDC. </w:t>
      </w:r>
    </w:p>
    <w:p w14:paraId="7C3EFC7D" w14:textId="77777777" w:rsidR="00CF2BB4" w:rsidRDefault="00CF2BB4" w:rsidP="00CF2BB4">
      <w:pPr>
        <w:pStyle w:val="ListParagraph"/>
        <w:numPr>
          <w:ilvl w:val="0"/>
          <w:numId w:val="2"/>
        </w:numPr>
        <w:rPr>
          <w:rFonts w:ascii="Courier New" w:hAnsi="Courier New" w:cs="Courier New"/>
          <w:sz w:val="24"/>
          <w:szCs w:val="24"/>
        </w:rPr>
      </w:pPr>
      <w:r>
        <w:rPr>
          <w:rFonts w:ascii="Courier New" w:hAnsi="Courier New" w:cs="Courier New"/>
          <w:sz w:val="24"/>
          <w:szCs w:val="24"/>
        </w:rPr>
        <w:t>Ground fault shutdown Enable/Disable switch shall be installed on the inner, hinged, swing-out panel inside the High Impedance Grounding System enclosure.  With switch in Disable position the Ground fault shutdown of the generator set shall be disabled.  With the switch in Enable position the system shall operate as described below.</w:t>
      </w:r>
    </w:p>
    <w:p w14:paraId="17694179" w14:textId="77777777" w:rsidR="00CF2BB4" w:rsidRDefault="00CF2BB4" w:rsidP="00CF2BB4">
      <w:pPr>
        <w:pStyle w:val="ListParagraph"/>
        <w:numPr>
          <w:ilvl w:val="0"/>
          <w:numId w:val="2"/>
        </w:numPr>
        <w:rPr>
          <w:rFonts w:ascii="Courier New" w:hAnsi="Courier New" w:cs="Courier New"/>
          <w:sz w:val="24"/>
          <w:szCs w:val="24"/>
        </w:rPr>
      </w:pPr>
      <w:r>
        <w:rPr>
          <w:rFonts w:ascii="Courier New" w:hAnsi="Courier New" w:cs="Courier New"/>
          <w:sz w:val="24"/>
          <w:szCs w:val="24"/>
        </w:rPr>
        <w:t>Ground fault condition shall be always annunciated by the red indicating light mounted on the outer door of the High Impedance Grounding System enclosure.</w:t>
      </w:r>
    </w:p>
    <w:p w14:paraId="3C016E63" w14:textId="77777777" w:rsidR="00CF2BB4" w:rsidRDefault="00CF2BB4" w:rsidP="00CF2BB4">
      <w:pPr>
        <w:pStyle w:val="ListParagraph"/>
        <w:numPr>
          <w:ilvl w:val="0"/>
          <w:numId w:val="2"/>
        </w:numPr>
        <w:rPr>
          <w:rFonts w:ascii="Courier New" w:hAnsi="Courier New" w:cs="Courier New"/>
          <w:sz w:val="24"/>
          <w:szCs w:val="24"/>
        </w:rPr>
      </w:pPr>
      <w:r>
        <w:rPr>
          <w:rFonts w:ascii="Courier New" w:hAnsi="Courier New" w:cs="Courier New"/>
          <w:sz w:val="24"/>
          <w:szCs w:val="24"/>
        </w:rPr>
        <w:t>Set of the dry contacts shall be provided for remote annunciation of the Ground fault condition.</w:t>
      </w:r>
    </w:p>
    <w:p w14:paraId="1DF4A4FB" w14:textId="77777777" w:rsidR="00CF2BB4" w:rsidRDefault="00CF2BB4" w:rsidP="00CF2BB4">
      <w:pPr>
        <w:pStyle w:val="PlainText"/>
        <w:numPr>
          <w:ilvl w:val="0"/>
          <w:numId w:val="2"/>
        </w:numPr>
        <w:tabs>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s>
        <w:rPr>
          <w:rFonts w:cs="Courier New"/>
          <w:sz w:val="24"/>
          <w:szCs w:val="24"/>
        </w:rPr>
      </w:pPr>
      <w:r>
        <w:rPr>
          <w:rFonts w:cs="Courier New"/>
          <w:sz w:val="24"/>
          <w:szCs w:val="24"/>
        </w:rPr>
        <w:t>All indicating lights shall be of high visibility, LED type with lenses of at least 1 inch outside diameter with service life of 100,000 hours at 77 degrees F temperature.</w:t>
      </w:r>
    </w:p>
    <w:p w14:paraId="4D6A02EE" w14:textId="057D73AF" w:rsidR="00CF2BB4" w:rsidRDefault="00CF2BB4" w:rsidP="00CF2BB4">
      <w:pPr>
        <w:pStyle w:val="PlainText"/>
        <w:numPr>
          <w:ilvl w:val="0"/>
          <w:numId w:val="2"/>
        </w:numPr>
        <w:tabs>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s>
        <w:rPr>
          <w:rFonts w:cs="Courier New"/>
          <w:sz w:val="24"/>
          <w:szCs w:val="24"/>
        </w:rPr>
      </w:pPr>
      <w:r>
        <w:rPr>
          <w:rFonts w:cs="Courier New"/>
          <w:sz w:val="24"/>
          <w:szCs w:val="24"/>
        </w:rPr>
        <w:t>Each control switch, indicating light or other component mounted on the door shall be identified by a nameplate.</w:t>
      </w:r>
    </w:p>
    <w:p w14:paraId="38CBC13D" w14:textId="77777777" w:rsidR="006A148E" w:rsidRDefault="006A148E" w:rsidP="006A148E">
      <w:pPr>
        <w:pStyle w:val="PlainText"/>
        <w:tabs>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s>
        <w:ind w:left="1080"/>
        <w:rPr>
          <w:rFonts w:cs="Courier New"/>
          <w:sz w:val="24"/>
          <w:szCs w:val="24"/>
        </w:rPr>
      </w:pPr>
    </w:p>
    <w:p w14:paraId="76FF44D1" w14:textId="77777777" w:rsidR="00CF2BB4" w:rsidRDefault="00CF2BB4" w:rsidP="00CF2BB4">
      <w:pPr>
        <w:pStyle w:val="PlainText"/>
        <w:numPr>
          <w:ilvl w:val="0"/>
          <w:numId w:val="2"/>
        </w:numPr>
        <w:tabs>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s>
        <w:rPr>
          <w:rFonts w:cs="Courier New"/>
          <w:sz w:val="24"/>
          <w:szCs w:val="24"/>
        </w:rPr>
      </w:pPr>
      <w:r>
        <w:rPr>
          <w:rFonts w:cs="Courier New"/>
          <w:sz w:val="24"/>
          <w:szCs w:val="24"/>
        </w:rPr>
        <w:t>The nameplates shall be produced from clear textured polycarbonate, laminated on high performance pressure sensitive adhesive.  The printing shall be done on the interior surface of the laminate to avoid scratching or other deterioration of text.  The lettering shall be white on black background.</w:t>
      </w:r>
    </w:p>
    <w:p w14:paraId="7CCC3B59" w14:textId="696CC1ED" w:rsidR="00CF2BB4" w:rsidRDefault="00CF2BB4" w:rsidP="00CF2BB4">
      <w:pPr>
        <w:rPr>
          <w:rFonts w:ascii="Courier New" w:hAnsi="Courier New" w:cs="Courier New"/>
          <w:sz w:val="24"/>
          <w:szCs w:val="24"/>
        </w:rPr>
      </w:pPr>
    </w:p>
    <w:p w14:paraId="337C9AEF" w14:textId="77777777" w:rsidR="00CF2BB4" w:rsidRDefault="00CF2BB4" w:rsidP="00CF2BB4">
      <w:pPr>
        <w:pStyle w:val="ListParagraph"/>
        <w:ind w:left="360"/>
        <w:rPr>
          <w:rFonts w:ascii="Courier New" w:hAnsi="Courier New" w:cs="Courier New"/>
          <w:sz w:val="24"/>
          <w:szCs w:val="24"/>
        </w:rPr>
      </w:pPr>
      <w:r>
        <w:rPr>
          <w:rFonts w:ascii="Courier New" w:hAnsi="Courier New" w:cs="Courier New"/>
          <w:sz w:val="24"/>
          <w:szCs w:val="24"/>
        </w:rPr>
        <w:t>System operation:</w:t>
      </w:r>
    </w:p>
    <w:p w14:paraId="4E507F84" w14:textId="77777777" w:rsidR="00CF2BB4" w:rsidRDefault="00CF2BB4" w:rsidP="00CF2BB4">
      <w:pPr>
        <w:pStyle w:val="ListParagraph"/>
        <w:ind w:left="360"/>
        <w:rPr>
          <w:rFonts w:ascii="Courier New" w:hAnsi="Courier New" w:cs="Courier New"/>
          <w:sz w:val="24"/>
          <w:szCs w:val="24"/>
        </w:rPr>
      </w:pPr>
    </w:p>
    <w:p w14:paraId="0138C9BE" w14:textId="77777777" w:rsidR="00CF2BB4" w:rsidRDefault="00CF2BB4" w:rsidP="00CF2BB4">
      <w:pPr>
        <w:pStyle w:val="ListParagraph"/>
        <w:numPr>
          <w:ilvl w:val="0"/>
          <w:numId w:val="4"/>
        </w:numPr>
        <w:rPr>
          <w:rFonts w:ascii="Courier New" w:hAnsi="Courier New" w:cs="Courier New"/>
          <w:sz w:val="24"/>
          <w:szCs w:val="24"/>
        </w:rPr>
      </w:pPr>
      <w:r>
        <w:rPr>
          <w:rFonts w:ascii="Courier New" w:hAnsi="Courier New" w:cs="Courier New"/>
          <w:sz w:val="24"/>
          <w:szCs w:val="24"/>
        </w:rPr>
        <w:t>High Impedance Grounding System shall include all the necessary components and equipment to accommodate described system operation unless otherwise noted.</w:t>
      </w:r>
    </w:p>
    <w:p w14:paraId="7AA028E1" w14:textId="0772E802" w:rsidR="00CF2BB4" w:rsidRDefault="00CF2BB4" w:rsidP="00CF2BB4">
      <w:pPr>
        <w:pStyle w:val="ListParagraph"/>
        <w:numPr>
          <w:ilvl w:val="0"/>
          <w:numId w:val="4"/>
        </w:numPr>
        <w:rPr>
          <w:rFonts w:ascii="Courier New" w:hAnsi="Courier New" w:cs="Courier New"/>
          <w:sz w:val="24"/>
          <w:szCs w:val="24"/>
        </w:rPr>
      </w:pPr>
      <w:r>
        <w:rPr>
          <w:rFonts w:ascii="Courier New" w:hAnsi="Courier New" w:cs="Courier New"/>
          <w:sz w:val="24"/>
          <w:szCs w:val="24"/>
        </w:rPr>
        <w:t>Upon sensing of the phase to ground fault condition and if the generator</w:t>
      </w:r>
      <w:r w:rsidR="006A148E">
        <w:rPr>
          <w:rFonts w:ascii="Courier New" w:hAnsi="Courier New" w:cs="Courier New"/>
          <w:sz w:val="24"/>
          <w:szCs w:val="24"/>
        </w:rPr>
        <w:t xml:space="preserve"> mounted</w:t>
      </w:r>
      <w:r>
        <w:rPr>
          <w:rFonts w:ascii="Courier New" w:hAnsi="Courier New" w:cs="Courier New"/>
          <w:sz w:val="24"/>
          <w:szCs w:val="24"/>
        </w:rPr>
        <w:t xml:space="preserve"> circuit breaker is open, the </w:t>
      </w:r>
      <w:r>
        <w:rPr>
          <w:rFonts w:ascii="Courier New" w:hAnsi="Courier New" w:cs="Courier New"/>
          <w:sz w:val="24"/>
          <w:szCs w:val="24"/>
        </w:rPr>
        <w:lastRenderedPageBreak/>
        <w:t xml:space="preserve">operation of the ground-overvoltage relay (device 59G) shall cause the generator set to shut down. </w:t>
      </w:r>
    </w:p>
    <w:p w14:paraId="6D4D3C0B" w14:textId="233A0FD0" w:rsidR="00CF2BB4" w:rsidRDefault="00CF2BB4" w:rsidP="00CF2BB4">
      <w:pPr>
        <w:pStyle w:val="ListParagraph"/>
        <w:numPr>
          <w:ilvl w:val="0"/>
          <w:numId w:val="4"/>
        </w:numPr>
        <w:rPr>
          <w:rFonts w:ascii="Courier New" w:hAnsi="Courier New" w:cs="Courier New"/>
          <w:sz w:val="24"/>
          <w:szCs w:val="24"/>
        </w:rPr>
      </w:pPr>
      <w:r>
        <w:rPr>
          <w:rFonts w:ascii="Courier New" w:hAnsi="Courier New" w:cs="Courier New"/>
          <w:sz w:val="24"/>
          <w:szCs w:val="24"/>
        </w:rPr>
        <w:t>If the generator circuit breaker in the switchgear is closed, the operation of the ground-overvoltage relay (device 59G) shall cause alarm only</w:t>
      </w:r>
      <w:r w:rsidR="006A148E">
        <w:rPr>
          <w:rFonts w:ascii="Courier New" w:hAnsi="Courier New" w:cs="Courier New"/>
          <w:sz w:val="24"/>
          <w:szCs w:val="24"/>
        </w:rPr>
        <w:t xml:space="preserve"> or tripping of the generator mounted circuit breaker</w:t>
      </w:r>
      <w:r>
        <w:rPr>
          <w:rFonts w:ascii="Courier New" w:hAnsi="Courier New" w:cs="Courier New"/>
          <w:sz w:val="24"/>
          <w:szCs w:val="24"/>
        </w:rPr>
        <w:t>, annunciated as described above</w:t>
      </w:r>
      <w:r w:rsidR="006A148E">
        <w:rPr>
          <w:rFonts w:ascii="Courier New" w:hAnsi="Courier New" w:cs="Courier New"/>
          <w:sz w:val="24"/>
          <w:szCs w:val="24"/>
        </w:rPr>
        <w:t>, based on the position of the Ground Fault Trip Enable/Disable switch</w:t>
      </w:r>
      <w:r>
        <w:rPr>
          <w:rFonts w:ascii="Courier New" w:hAnsi="Courier New" w:cs="Courier New"/>
          <w:sz w:val="24"/>
          <w:szCs w:val="24"/>
        </w:rPr>
        <w:t>.</w:t>
      </w:r>
      <w:r w:rsidR="006A148E">
        <w:rPr>
          <w:rFonts w:ascii="Courier New" w:hAnsi="Courier New" w:cs="Courier New"/>
          <w:sz w:val="24"/>
          <w:szCs w:val="24"/>
        </w:rPr>
        <w:t xml:space="preserve">  </w:t>
      </w:r>
    </w:p>
    <w:p w14:paraId="0C588069" w14:textId="77777777" w:rsidR="00CF2BB4" w:rsidRPr="00CF2BB4" w:rsidRDefault="00CF2BB4" w:rsidP="00CF2BB4">
      <w:pPr>
        <w:rPr>
          <w:rFonts w:ascii="Courier New" w:hAnsi="Courier New" w:cs="Courier New"/>
          <w:sz w:val="24"/>
          <w:szCs w:val="24"/>
        </w:rPr>
      </w:pPr>
    </w:p>
    <w:sectPr w:rsidR="00CF2BB4" w:rsidRPr="00CF2BB4" w:rsidSect="00112A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60A89"/>
    <w:multiLevelType w:val="hybridMultilevel"/>
    <w:tmpl w:val="6950A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6F2079"/>
    <w:multiLevelType w:val="hybridMultilevel"/>
    <w:tmpl w:val="FA36720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476401CA"/>
    <w:multiLevelType w:val="hybridMultilevel"/>
    <w:tmpl w:val="853254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A35"/>
    <w:rsid w:val="00061984"/>
    <w:rsid w:val="00112AB3"/>
    <w:rsid w:val="00204BD3"/>
    <w:rsid w:val="00207917"/>
    <w:rsid w:val="002163F9"/>
    <w:rsid w:val="003B61E1"/>
    <w:rsid w:val="005E5642"/>
    <w:rsid w:val="0069115A"/>
    <w:rsid w:val="006A148E"/>
    <w:rsid w:val="00725623"/>
    <w:rsid w:val="00774225"/>
    <w:rsid w:val="008841B9"/>
    <w:rsid w:val="008B0C6C"/>
    <w:rsid w:val="00A4357A"/>
    <w:rsid w:val="00B91175"/>
    <w:rsid w:val="00BA5D33"/>
    <w:rsid w:val="00BB5F17"/>
    <w:rsid w:val="00BD34CE"/>
    <w:rsid w:val="00BE09BB"/>
    <w:rsid w:val="00C82A35"/>
    <w:rsid w:val="00CF2BB4"/>
    <w:rsid w:val="00D07F13"/>
    <w:rsid w:val="00DE491B"/>
    <w:rsid w:val="00E62262"/>
    <w:rsid w:val="00FD0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FDFF0"/>
  <w15:docId w15:val="{709BFDBE-08CE-4116-BE0F-CB5AA660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A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A35"/>
    <w:pPr>
      <w:ind w:left="720"/>
      <w:contextualSpacing/>
    </w:pPr>
  </w:style>
  <w:style w:type="paragraph" w:styleId="PlainText">
    <w:name w:val="Plain Text"/>
    <w:basedOn w:val="Normal"/>
    <w:link w:val="PlainTextChar"/>
    <w:semiHidden/>
    <w:unhideWhenUsed/>
    <w:rsid w:val="00CF2BB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CF2BB4"/>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16254">
      <w:bodyDiv w:val="1"/>
      <w:marLeft w:val="0"/>
      <w:marRight w:val="0"/>
      <w:marTop w:val="0"/>
      <w:marBottom w:val="0"/>
      <w:divBdr>
        <w:top w:val="none" w:sz="0" w:space="0" w:color="auto"/>
        <w:left w:val="none" w:sz="0" w:space="0" w:color="auto"/>
        <w:bottom w:val="none" w:sz="0" w:space="0" w:color="auto"/>
        <w:right w:val="none" w:sz="0" w:space="0" w:color="auto"/>
      </w:divBdr>
    </w:div>
    <w:div w:id="205673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Advanced Power Technologies (APT)</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Alexuser</dc:creator>
  <cp:lastModifiedBy>Brandon Lopez</cp:lastModifiedBy>
  <cp:revision>5</cp:revision>
  <cp:lastPrinted>2015-04-30T17:12:00Z</cp:lastPrinted>
  <dcterms:created xsi:type="dcterms:W3CDTF">2019-09-20T17:57:00Z</dcterms:created>
  <dcterms:modified xsi:type="dcterms:W3CDTF">2019-09-20T20:59:00Z</dcterms:modified>
  <dc:language>English (U.S.)</dc:language>
  <cp:version>1</cp:version>
</cp:coreProperties>
</file>